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4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4678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3"/>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BARRETT KELLY HEFNER</w:t>
              </w:r>
            </w:hyperlink>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Piedmont Realty Trust,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PDM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Borders>
              <w:bottom w:val="single" w:sz="8" w:color="0000EE"/>
            </w:tcBorders>
            <w:gridSpan w:val="3"/>
            <w:vMerge w:val="continue"/>
          </w:tcPr>
          <w:p>
            <w:pPr>
              <w:spacing w:after="0"/>
              <w:rPr>
                <w:sz w:val="4"/>
                <w:szCs w:val="4"/>
                <w:color w:val="auto"/>
              </w:rPr>
            </w:pPr>
          </w:p>
        </w:tc>
        <w:tc>
          <w:tcPr>
            <w:tcW w:w="44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gridSpan w:val="3"/>
          </w:tcPr>
          <w:p>
            <w:pPr>
              <w:spacing w:after="0"/>
              <w:rPr>
                <w:sz w:val="4"/>
                <w:szCs w:val="4"/>
                <w:color w:val="auto"/>
              </w:rPr>
            </w:pPr>
          </w:p>
        </w:tc>
        <w:tc>
          <w:tcPr>
            <w:tcW w:w="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5565 GLENRIDGE CONNECTOR</w:t>
            </w:r>
          </w:p>
        </w:tc>
        <w:tc>
          <w:tcPr>
            <w:tcW w:w="1020" w:type="dxa"/>
            <w:vAlign w:val="bottom"/>
          </w:tcPr>
          <w:p>
            <w:pPr>
              <w:spacing w:after="0"/>
              <w:rPr>
                <w:sz w:val="16"/>
                <w:szCs w:val="16"/>
                <w:color w:val="auto"/>
              </w:rPr>
            </w:pPr>
          </w:p>
        </w:tc>
        <w:tc>
          <w:tcPr>
            <w:tcW w:w="132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05/12/2026</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STE. 450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ATLANTA</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30342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200"/>
              <w:spacing w:after="0"/>
              <w:rPr>
                <w:sz w:val="20"/>
                <w:szCs w:val="20"/>
                <w:color w:val="auto"/>
              </w:rPr>
            </w:pPr>
            <w:r>
              <w:rPr>
                <w:rFonts w:ascii="Arial" w:cs="Arial" w:eastAsia="Arial" w:hAnsi="Arial"/>
                <w:sz w:val="10"/>
                <w:szCs w:val="10"/>
                <w:color w:val="auto"/>
              </w:rPr>
              <w:t>(State)</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50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60" w:type="dxa"/>
            <w:vAlign w:val="bottom"/>
          </w:tcPr>
          <w:p>
            <w:pPr>
              <w:spacing w:after="0"/>
              <w:rPr>
                <w:sz w:val="6"/>
                <w:szCs w:val="6"/>
                <w:color w:val="auto"/>
              </w:rPr>
            </w:pPr>
          </w:p>
        </w:tc>
        <w:tc>
          <w:tcPr>
            <w:tcW w:w="34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40" w:type="dxa"/>
            <w:vAlign w:val="bottom"/>
            <w:vMerge w:val="restart"/>
          </w:tcPr>
          <w:p>
            <w:pPr>
              <w:jc w:val="center"/>
              <w:ind w:left="166"/>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0000FF"/>
              </w:rPr>
              <w:t>05/12/2026</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740" w:type="dxa"/>
            <w:vAlign w:val="bottom"/>
          </w:tcPr>
          <w:p>
            <w:pPr>
              <w:jc w:val="center"/>
              <w:ind w:left="18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color w:val="008000"/>
              </w:rPr>
              <w:t>(1)(2)</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97,426</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23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 Securities</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3"/>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50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3"/>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(1)</w:t>
            </w:r>
          </w:p>
        </w:tc>
        <w:tc>
          <w:tcPr>
            <w:tcW w:w="72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0"/>
                <w:szCs w:val="10"/>
                <w:color w:val="0000FF"/>
              </w:rPr>
              <w:t>15,217</w:t>
            </w:r>
          </w:p>
        </w:tc>
        <w:tc>
          <w:tcPr>
            <w:tcW w:w="3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(2)</w:t>
            </w:r>
          </w:p>
        </w:tc>
        <w:tc>
          <w:tcPr>
            <w:tcW w:w="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28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Pr>
          <w:p>
            <w:pPr>
              <w:spacing w:after="0"/>
              <w:rPr>
                <w:sz w:val="23"/>
                <w:szCs w:val="23"/>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12,883</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(3)</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12,883</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12,883</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PDM common stock. Restricted stock units may be settled in cash or common stock at PDM's election.</w:t>
      </w:r>
    </w:p>
    <w:p>
      <w:pPr>
        <w:spacing w:after="0" w:line="40"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15, 2025, at the 2025 Annual Meeting of Stockholders of Piedmont Realty Trust, Inc., the reporting person was granted 15,217 restricted stock units, which vested at the 2026 Annual Meeting of Stockholders on May 12, 2026, and was settled in PDM common stock.</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M. Wade Grace III as Attorney-in-</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05/13/2026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20" w:type="dxa"/>
            <w:vAlign w:val="bottom"/>
            <w:tcBorders>
              <w:top w:val="single" w:sz="8" w:color="auto"/>
            </w:tcBorders>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 for Kelly H. Barrett</w:t>
            </w:r>
          </w:p>
        </w:tc>
        <w:tc>
          <w:tcPr>
            <w:tcW w:w="100" w:type="dxa"/>
            <w:vAlign w:val="bottom"/>
            <w:vMerge w:val="restart"/>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20" w:type="dxa"/>
            <w:vAlign w:val="bottom"/>
            <w:tcBorders>
              <w:top w:val="single" w:sz="8" w:color="auto"/>
            </w:tcBorders>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7192"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2026-05-13T15:23:35Z</dcterms:created>
  <dcterms:modified xsi:type="dcterms:W3CDTF">2026-05-13T15:23:35Z</dcterms:modified>
</cp:coreProperties>
</file>