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2055693.xml.htm"/>
      <w:bookmarkStart w:id="1" w:name="kswkform4_177205569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Smith Christopher Brent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5565 GLENRIDGE CONNECTOR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STE. 450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Piedmont Realty Trust, Inc.</w:t>
              </w:r>
            </w:hyperlink>
            <w:r>
              <w:rPr/>
              <w:t xml:space="preserve"> [ </w:t>
            </w:r>
            <w:r>
              <w:rPr>
                <w:rFonts w:ascii="Times;serif" w:hAnsi="Times;serif"/>
                <w:color w:val="0000FF"/>
                <w:sz w:val="24"/>
                <w:shd w:fill="FFFFFF" w:val="clear"/>
              </w:rPr>
              <w:t>PDM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&amp; Chief Exec. Off</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33,791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709,797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15,051</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7.62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694,746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33,791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33,791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423,180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February 23, 2023, the reporting person was granted 135,164 deferred stock units, vesting in four equal, annual installments beginning on the anniversary of the grant date. On February 23, 2026, the third 25% of the grant vested (33,791 shares) and were settled in PDM common stock. In connection with this vesting, 15,051 shares were forfeited by the employee and delivered to PDM to satisfy tax withholding obligations.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deferred stock unit represents a contingent right to receive one share of PDM common stock. Deferred stock units may be settled in cash or common stock at PDM's election.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 Wade Grace III as Attorney-in-Fact for Christopher Brent Smith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7666" TargetMode="External"/><Relationship Id="rId5" Type="http://schemas.openxmlformats.org/officeDocument/2006/relationships/hyperlink" Target="http://www.sec.gov/cgi-bin/browse-edgar?action=getcompany&amp;CIK=00010427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696</Words>
  <Characters>3738</Characters>
  <CharactersWithSpaces>4358</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